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D3FDA" w14:textId="0D075F86" w:rsidR="00600CA8" w:rsidRPr="00600CA8" w:rsidRDefault="00600CA8" w:rsidP="00600CA8">
      <w:pPr>
        <w:jc w:val="center"/>
        <w:rPr>
          <w:rFonts w:cs="Arial"/>
          <w:b/>
          <w:bCs/>
        </w:rPr>
      </w:pPr>
      <w:r w:rsidRPr="00600CA8">
        <w:rPr>
          <w:rFonts w:cs="Arial"/>
          <w:b/>
          <w:bCs/>
        </w:rPr>
        <w:t>PROPOSICIÓN</w:t>
      </w:r>
      <w:r>
        <w:rPr>
          <w:rFonts w:cs="Arial"/>
          <w:b/>
          <w:bCs/>
        </w:rPr>
        <w:t xml:space="preserve"> DE ELIMINACIÓN</w:t>
      </w:r>
    </w:p>
    <w:p w14:paraId="537767CF" w14:textId="77777777" w:rsidR="00600CA8" w:rsidRPr="00600CA8" w:rsidRDefault="00600CA8" w:rsidP="00600CA8">
      <w:pPr>
        <w:jc w:val="center"/>
        <w:rPr>
          <w:rFonts w:cs="Arial"/>
          <w:b/>
          <w:bCs/>
        </w:rPr>
      </w:pPr>
    </w:p>
    <w:p w14:paraId="26D65355" w14:textId="77777777" w:rsidR="00600CA8" w:rsidRPr="00600CA8" w:rsidRDefault="00600CA8" w:rsidP="00600CA8">
      <w:pPr>
        <w:rPr>
          <w:rFonts w:cs="Arial"/>
          <w:b/>
        </w:rPr>
      </w:pPr>
      <w:r w:rsidRPr="00600CA8">
        <w:rPr>
          <w:rFonts w:cs="Arial"/>
          <w:b/>
          <w:lang w:val="es-CO"/>
        </w:rPr>
        <w:t>Proyecto de Ley N° 280 de 2020 Cámara – 158 de 2020 Senado “Por medio de la cual se dictan disposiciones en materia de vivienda y hábitat”</w:t>
      </w:r>
    </w:p>
    <w:p w14:paraId="0747A346" w14:textId="77777777" w:rsidR="00600CA8" w:rsidRPr="00600CA8" w:rsidRDefault="00600CA8" w:rsidP="00600CA8">
      <w:pPr>
        <w:rPr>
          <w:rFonts w:cs="Arial"/>
          <w:b/>
          <w:lang w:val="es-CO"/>
        </w:rPr>
      </w:pPr>
    </w:p>
    <w:p w14:paraId="624F5B2A" w14:textId="28F14D95" w:rsidR="00600CA8" w:rsidRPr="00600CA8" w:rsidRDefault="00600CA8" w:rsidP="00600CA8">
      <w:pPr>
        <w:rPr>
          <w:rFonts w:cs="Arial"/>
        </w:rPr>
      </w:pPr>
      <w:r w:rsidRPr="00600CA8">
        <w:rPr>
          <w:rFonts w:cs="Arial"/>
        </w:rPr>
        <w:t xml:space="preserve">Modifíquese el artículo </w:t>
      </w:r>
      <w:r>
        <w:rPr>
          <w:rFonts w:cs="Arial"/>
        </w:rPr>
        <w:t>33</w:t>
      </w:r>
      <w:r w:rsidRPr="00600CA8">
        <w:rPr>
          <w:rFonts w:cs="Arial"/>
        </w:rPr>
        <w:t>º, el cual quedará así:</w:t>
      </w:r>
    </w:p>
    <w:p w14:paraId="196956F1" w14:textId="77777777" w:rsidR="00600CA8" w:rsidRPr="00600CA8" w:rsidRDefault="00600CA8" w:rsidP="00600CA8">
      <w:pPr>
        <w:rPr>
          <w:rFonts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414"/>
        <w:gridCol w:w="4414"/>
      </w:tblGrid>
      <w:tr w:rsidR="00600CA8" w:rsidRPr="00600CA8" w14:paraId="20277687" w14:textId="77777777" w:rsidTr="00A40B8D">
        <w:tc>
          <w:tcPr>
            <w:tcW w:w="2500" w:type="pct"/>
          </w:tcPr>
          <w:p w14:paraId="7939189D" w14:textId="77777777" w:rsidR="00600CA8" w:rsidRPr="00600CA8" w:rsidRDefault="00600CA8" w:rsidP="00A40B8D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600CA8">
              <w:rPr>
                <w:rFonts w:eastAsia="Times New Roman" w:cs="Arial"/>
                <w:b/>
                <w:sz w:val="22"/>
                <w:szCs w:val="22"/>
              </w:rPr>
              <w:t>Artículo en ponencia de primer debate</w:t>
            </w:r>
          </w:p>
        </w:tc>
        <w:tc>
          <w:tcPr>
            <w:tcW w:w="2500" w:type="pct"/>
          </w:tcPr>
          <w:p w14:paraId="1E7240AA" w14:textId="77777777" w:rsidR="00600CA8" w:rsidRPr="00600CA8" w:rsidRDefault="00600CA8" w:rsidP="00A40B8D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600CA8">
              <w:rPr>
                <w:rFonts w:eastAsia="Times New Roman" w:cs="Arial"/>
                <w:b/>
                <w:sz w:val="22"/>
                <w:szCs w:val="22"/>
              </w:rPr>
              <w:t>Modificación propuesta</w:t>
            </w:r>
          </w:p>
        </w:tc>
      </w:tr>
      <w:tr w:rsidR="00600CA8" w:rsidRPr="00600CA8" w14:paraId="7285741A" w14:textId="77777777" w:rsidTr="00A40B8D">
        <w:tc>
          <w:tcPr>
            <w:tcW w:w="2500" w:type="pct"/>
          </w:tcPr>
          <w:p w14:paraId="24FAD86F" w14:textId="77777777" w:rsidR="00600CA8" w:rsidRPr="00600CA8" w:rsidRDefault="00600CA8" w:rsidP="00A40B8D">
            <w:pPr>
              <w:rPr>
                <w:rFonts w:cs="Arial"/>
                <w:sz w:val="22"/>
                <w:szCs w:val="22"/>
              </w:rPr>
            </w:pPr>
            <w:r w:rsidRPr="00600CA8">
              <w:rPr>
                <w:rFonts w:cs="Arial"/>
                <w:smallCaps/>
                <w:sz w:val="22"/>
                <w:szCs w:val="22"/>
              </w:rPr>
              <w:t>Artículo 33. Destinación de los recursos provenientes de la participación en plusvalía.</w:t>
            </w:r>
            <w:r w:rsidRPr="00600CA8">
              <w:rPr>
                <w:rFonts w:cs="Arial"/>
                <w:sz w:val="22"/>
                <w:szCs w:val="22"/>
              </w:rPr>
              <w:t xml:space="preserve"> Adicionase el parágrafo 2 al artículo 85 de la Ley 388 de 1997 el cual quedará así:</w:t>
            </w:r>
          </w:p>
          <w:p w14:paraId="464DE76D" w14:textId="77777777" w:rsidR="00600CA8" w:rsidRPr="00600CA8" w:rsidRDefault="00600CA8" w:rsidP="00A40B8D">
            <w:pPr>
              <w:rPr>
                <w:rFonts w:cs="Arial"/>
                <w:sz w:val="22"/>
                <w:szCs w:val="22"/>
              </w:rPr>
            </w:pPr>
          </w:p>
          <w:p w14:paraId="35B416EA" w14:textId="77777777" w:rsidR="00600CA8" w:rsidRPr="00600CA8" w:rsidRDefault="00600CA8" w:rsidP="00A40B8D">
            <w:pPr>
              <w:ind w:left="324" w:right="319"/>
              <w:rPr>
                <w:rFonts w:cs="Arial"/>
                <w:sz w:val="22"/>
                <w:szCs w:val="22"/>
              </w:rPr>
            </w:pPr>
            <w:r w:rsidRPr="00600CA8">
              <w:rPr>
                <w:rFonts w:cs="Arial"/>
                <w:sz w:val="22"/>
                <w:szCs w:val="22"/>
              </w:rPr>
              <w:t>“Parágrafo 2º. La participación en plusvalía que se ocasione en virtud de los hechos generadores del artículo 74 de la presente ley, se podrá destinar a la ejecución de obras de infraestructura de carga general en el suelo en el que se efectuó el cambio de clasificación.</w:t>
            </w:r>
          </w:p>
          <w:p w14:paraId="58DFF270" w14:textId="77777777" w:rsidR="00600CA8" w:rsidRPr="00600CA8" w:rsidRDefault="00600CA8" w:rsidP="00A40B8D">
            <w:pPr>
              <w:ind w:left="324" w:right="319"/>
              <w:rPr>
                <w:rFonts w:cs="Arial"/>
                <w:sz w:val="22"/>
                <w:szCs w:val="22"/>
              </w:rPr>
            </w:pPr>
          </w:p>
          <w:p w14:paraId="22648DF4" w14:textId="77777777" w:rsidR="00600CA8" w:rsidRPr="00600CA8" w:rsidRDefault="00600CA8" w:rsidP="00A40B8D">
            <w:pPr>
              <w:tabs>
                <w:tab w:val="left" w:pos="0"/>
              </w:tabs>
              <w:ind w:left="324" w:right="319"/>
              <w:rPr>
                <w:rFonts w:cs="Arial"/>
                <w:sz w:val="22"/>
                <w:szCs w:val="22"/>
              </w:rPr>
            </w:pPr>
            <w:r w:rsidRPr="00600CA8">
              <w:rPr>
                <w:rFonts w:cs="Arial"/>
                <w:sz w:val="22"/>
                <w:szCs w:val="22"/>
              </w:rPr>
              <w:t>Con el objeto de garantizar su ejecución, se podrán celebrar acuerdos de pago en especie en virtud de los cuales los propietarios o sujetos pasivos podrán celebrar contratos de fiducia en los que las entidades territoriales serán las beneficiarias, y cuyo objeto consista en la ejecución de obras de infraestructura vial, de servicios públicos, domiciliarios, áreas de recreación y equipamientos sociales, entre otras obras de carga general.”</w:t>
            </w:r>
          </w:p>
        </w:tc>
        <w:tc>
          <w:tcPr>
            <w:tcW w:w="2500" w:type="pct"/>
          </w:tcPr>
          <w:p w14:paraId="06A68643" w14:textId="77777777" w:rsidR="00600CA8" w:rsidRPr="00600CA8" w:rsidRDefault="00600CA8" w:rsidP="00A40B8D">
            <w:pPr>
              <w:rPr>
                <w:rFonts w:cs="Arial"/>
                <w:strike/>
                <w:sz w:val="22"/>
                <w:szCs w:val="22"/>
              </w:rPr>
            </w:pPr>
            <w:r w:rsidRPr="00600CA8">
              <w:rPr>
                <w:rFonts w:cs="Arial"/>
                <w:smallCaps/>
                <w:strike/>
                <w:sz w:val="22"/>
                <w:szCs w:val="22"/>
              </w:rPr>
              <w:t>Artículo 33. Destinación de los recursos provenientes de la participación en plusvalía.</w:t>
            </w:r>
            <w:r w:rsidRPr="00600CA8">
              <w:rPr>
                <w:rFonts w:cs="Arial"/>
                <w:strike/>
                <w:sz w:val="22"/>
                <w:szCs w:val="22"/>
              </w:rPr>
              <w:t xml:space="preserve"> Adicionase el parágrafo 2 al artículo 85 de la Ley 388 de 1997 el cual quedará así:</w:t>
            </w:r>
          </w:p>
          <w:p w14:paraId="3D7969CB" w14:textId="77777777" w:rsidR="00600CA8" w:rsidRPr="00600CA8" w:rsidRDefault="00600CA8" w:rsidP="00A40B8D">
            <w:pPr>
              <w:rPr>
                <w:rFonts w:cs="Arial"/>
                <w:strike/>
                <w:sz w:val="22"/>
                <w:szCs w:val="22"/>
              </w:rPr>
            </w:pPr>
          </w:p>
          <w:p w14:paraId="75DC6616" w14:textId="77777777" w:rsidR="00600CA8" w:rsidRPr="00600CA8" w:rsidRDefault="00600CA8" w:rsidP="00A40B8D">
            <w:pPr>
              <w:ind w:left="324" w:right="319"/>
              <w:rPr>
                <w:rFonts w:cs="Arial"/>
                <w:strike/>
                <w:sz w:val="22"/>
                <w:szCs w:val="22"/>
              </w:rPr>
            </w:pPr>
            <w:r w:rsidRPr="00600CA8">
              <w:rPr>
                <w:rFonts w:cs="Arial"/>
                <w:strike/>
                <w:sz w:val="22"/>
                <w:szCs w:val="22"/>
              </w:rPr>
              <w:t>“Parágrafo 2º. La participación en plusvalía que se ocasione en virtud de los hechos generadores del artículo 74 de la presente ley, se podrá destinar a la ejecución de obras de infraestructura de carga general en el suelo en el que se efectuó el cambio de clasificación.</w:t>
            </w:r>
          </w:p>
          <w:p w14:paraId="234555ED" w14:textId="77777777" w:rsidR="00600CA8" w:rsidRPr="00600CA8" w:rsidRDefault="00600CA8" w:rsidP="00A40B8D">
            <w:pPr>
              <w:ind w:left="324" w:right="319"/>
              <w:rPr>
                <w:rFonts w:cs="Arial"/>
                <w:strike/>
                <w:sz w:val="22"/>
                <w:szCs w:val="22"/>
              </w:rPr>
            </w:pPr>
          </w:p>
          <w:p w14:paraId="35FE295C" w14:textId="77777777" w:rsidR="00600CA8" w:rsidRPr="00600CA8" w:rsidRDefault="00600CA8" w:rsidP="00A40B8D">
            <w:pPr>
              <w:tabs>
                <w:tab w:val="left" w:pos="0"/>
              </w:tabs>
              <w:ind w:left="324" w:right="319"/>
              <w:rPr>
                <w:rFonts w:cs="Arial"/>
                <w:sz w:val="22"/>
                <w:szCs w:val="22"/>
              </w:rPr>
            </w:pPr>
            <w:r w:rsidRPr="00600CA8">
              <w:rPr>
                <w:rFonts w:cs="Arial"/>
                <w:strike/>
                <w:sz w:val="22"/>
                <w:szCs w:val="22"/>
              </w:rPr>
              <w:t>Con el objeto de garantizar su ejecución, se podrán celebrar acuerdos de pago en especie en virtud de los cuales los propietarios o sujetos pasivos podrán celebrar contratos de fiducia en los que las entidades territoriales serán las beneficiarias, y cuyo objeto consista en la ejecución de obras de infraestructura vial, de servicios públicos, domiciliarios, áreas de recreación y equipamientos sociales, entre otras obras de carga general.”</w:t>
            </w:r>
          </w:p>
        </w:tc>
      </w:tr>
    </w:tbl>
    <w:p w14:paraId="04C406CE" w14:textId="77777777" w:rsidR="00600CA8" w:rsidRPr="00600CA8" w:rsidRDefault="00600CA8" w:rsidP="00600CA8">
      <w:pPr>
        <w:rPr>
          <w:rFonts w:cs="Arial"/>
        </w:rPr>
      </w:pPr>
    </w:p>
    <w:p w14:paraId="6F45BBF7" w14:textId="77777777" w:rsidR="00600CA8" w:rsidRPr="00600CA8" w:rsidRDefault="00600CA8" w:rsidP="00600CA8">
      <w:pPr>
        <w:rPr>
          <w:rFonts w:cs="Arial"/>
        </w:rPr>
      </w:pPr>
    </w:p>
    <w:p w14:paraId="6148D63C" w14:textId="77777777" w:rsidR="00600CA8" w:rsidRPr="00600CA8" w:rsidRDefault="00600CA8" w:rsidP="00600CA8">
      <w:pPr>
        <w:rPr>
          <w:rFonts w:cs="Arial"/>
        </w:rPr>
      </w:pPr>
      <w:r w:rsidRPr="00600CA8">
        <w:rPr>
          <w:rFonts w:cs="Arial"/>
          <w:noProof/>
        </w:rPr>
        <w:drawing>
          <wp:inline distT="0" distB="0" distL="0" distR="0" wp14:anchorId="395E967F" wp14:editId="7CC04719">
            <wp:extent cx="1708306" cy="757990"/>
            <wp:effectExtent l="0" t="0" r="0" b="4445"/>
            <wp:docPr id="17" name="Imagen 17" descr="Imagen que contiene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tabl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2861" cy="76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F9E07" w14:textId="77777777" w:rsidR="00600CA8" w:rsidRPr="00600CA8" w:rsidRDefault="00600CA8" w:rsidP="00600CA8">
      <w:pPr>
        <w:rPr>
          <w:rFonts w:cs="Arial"/>
          <w:b/>
          <w:bCs/>
        </w:rPr>
      </w:pPr>
      <w:r w:rsidRPr="00600CA8">
        <w:rPr>
          <w:rFonts w:cs="Arial"/>
        </w:rPr>
        <w:t xml:space="preserve"> </w:t>
      </w:r>
      <w:r w:rsidRPr="00600CA8">
        <w:rPr>
          <w:rFonts w:cs="Arial"/>
          <w:b/>
          <w:bCs/>
        </w:rPr>
        <w:t xml:space="preserve">FABIÁN DÍAZ PLATA </w:t>
      </w:r>
    </w:p>
    <w:p w14:paraId="036E5168" w14:textId="77777777" w:rsidR="00600CA8" w:rsidRPr="00600CA8" w:rsidRDefault="00600CA8" w:rsidP="00600CA8">
      <w:pPr>
        <w:rPr>
          <w:rFonts w:cs="Arial"/>
        </w:rPr>
      </w:pPr>
      <w:r w:rsidRPr="00600CA8">
        <w:rPr>
          <w:rFonts w:cs="Arial"/>
        </w:rPr>
        <w:t xml:space="preserve">Representante a la Cámara </w:t>
      </w:r>
    </w:p>
    <w:p w14:paraId="3A35B49C" w14:textId="77777777" w:rsidR="00600CA8" w:rsidRPr="00600CA8" w:rsidRDefault="00600CA8" w:rsidP="00600CA8">
      <w:pPr>
        <w:rPr>
          <w:rFonts w:cs="Arial"/>
        </w:rPr>
      </w:pPr>
      <w:r w:rsidRPr="00600CA8">
        <w:rPr>
          <w:rFonts w:cs="Arial"/>
        </w:rPr>
        <w:t>Departamento de Santander</w:t>
      </w:r>
    </w:p>
    <w:p w14:paraId="3CB9E08F" w14:textId="77777777" w:rsidR="004C3805" w:rsidRPr="00600CA8" w:rsidRDefault="00600CA8"/>
    <w:sectPr w:rsidR="004C3805" w:rsidRPr="00600C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CA8"/>
    <w:rsid w:val="00004D1F"/>
    <w:rsid w:val="00026B0B"/>
    <w:rsid w:val="00043759"/>
    <w:rsid w:val="0014714E"/>
    <w:rsid w:val="001A71BF"/>
    <w:rsid w:val="001B1C34"/>
    <w:rsid w:val="001B46D0"/>
    <w:rsid w:val="001D1881"/>
    <w:rsid w:val="002411A7"/>
    <w:rsid w:val="0026324B"/>
    <w:rsid w:val="00301ED8"/>
    <w:rsid w:val="00352078"/>
    <w:rsid w:val="003857D7"/>
    <w:rsid w:val="003A0C77"/>
    <w:rsid w:val="00432534"/>
    <w:rsid w:val="0045012D"/>
    <w:rsid w:val="004673DC"/>
    <w:rsid w:val="00482BAF"/>
    <w:rsid w:val="004F691F"/>
    <w:rsid w:val="004F6952"/>
    <w:rsid w:val="004F6D48"/>
    <w:rsid w:val="00543877"/>
    <w:rsid w:val="00576621"/>
    <w:rsid w:val="00593C02"/>
    <w:rsid w:val="005F19F1"/>
    <w:rsid w:val="00600CA8"/>
    <w:rsid w:val="00617054"/>
    <w:rsid w:val="006325FD"/>
    <w:rsid w:val="00664CC7"/>
    <w:rsid w:val="00675BC9"/>
    <w:rsid w:val="006A795F"/>
    <w:rsid w:val="007319AF"/>
    <w:rsid w:val="0077183E"/>
    <w:rsid w:val="00883F72"/>
    <w:rsid w:val="00886FCF"/>
    <w:rsid w:val="008A702E"/>
    <w:rsid w:val="008B6095"/>
    <w:rsid w:val="008C61A4"/>
    <w:rsid w:val="008F2145"/>
    <w:rsid w:val="00984C16"/>
    <w:rsid w:val="00993517"/>
    <w:rsid w:val="00997B21"/>
    <w:rsid w:val="009D307E"/>
    <w:rsid w:val="00A92E18"/>
    <w:rsid w:val="00B0341A"/>
    <w:rsid w:val="00B20731"/>
    <w:rsid w:val="00B43DEB"/>
    <w:rsid w:val="00B81345"/>
    <w:rsid w:val="00BE3F66"/>
    <w:rsid w:val="00BE5935"/>
    <w:rsid w:val="00C460EC"/>
    <w:rsid w:val="00C54113"/>
    <w:rsid w:val="00C65B70"/>
    <w:rsid w:val="00C85D68"/>
    <w:rsid w:val="00C967F8"/>
    <w:rsid w:val="00CB2638"/>
    <w:rsid w:val="00CC366C"/>
    <w:rsid w:val="00CD6555"/>
    <w:rsid w:val="00CF432B"/>
    <w:rsid w:val="00CF76DE"/>
    <w:rsid w:val="00E15B74"/>
    <w:rsid w:val="00E20A5E"/>
    <w:rsid w:val="00E44343"/>
    <w:rsid w:val="00E50E44"/>
    <w:rsid w:val="00E775A2"/>
    <w:rsid w:val="00ED78AF"/>
    <w:rsid w:val="00EF4E6D"/>
    <w:rsid w:val="00F034D7"/>
    <w:rsid w:val="00F40430"/>
    <w:rsid w:val="00F4125C"/>
    <w:rsid w:val="00F514FB"/>
    <w:rsid w:val="00F52C90"/>
    <w:rsid w:val="00F81432"/>
    <w:rsid w:val="00FB28F0"/>
    <w:rsid w:val="00F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6AED"/>
  <w15:chartTrackingRefBased/>
  <w15:docId w15:val="{A0C6DB53-A170-435F-B3F9-5A694413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CA8"/>
    <w:pPr>
      <w:spacing w:after="0" w:line="240" w:lineRule="auto"/>
      <w:jc w:val="both"/>
    </w:pPr>
    <w:rPr>
      <w:rFonts w:ascii="Arial" w:eastAsiaTheme="minorEastAsia" w:hAnsi="Arial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3F66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24"/>
      <w:szCs w:val="32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3F66"/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table" w:styleId="Tablaconcuadrcula">
    <w:name w:val="Table Grid"/>
    <w:basedOn w:val="Tablanormal"/>
    <w:uiPriority w:val="39"/>
    <w:rsid w:val="00600CA8"/>
    <w:pPr>
      <w:spacing w:after="0" w:line="240" w:lineRule="auto"/>
    </w:pPr>
    <w:rPr>
      <w:sz w:val="24"/>
      <w:szCs w:val="24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Plazas</dc:creator>
  <cp:keywords/>
  <dc:description/>
  <cp:lastModifiedBy>Carlos Plazas</cp:lastModifiedBy>
  <cp:revision>1</cp:revision>
  <dcterms:created xsi:type="dcterms:W3CDTF">2020-10-29T14:40:00Z</dcterms:created>
  <dcterms:modified xsi:type="dcterms:W3CDTF">2020-10-29T14:46:00Z</dcterms:modified>
</cp:coreProperties>
</file>